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55E8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1F1C650C" w14:textId="77777777" w:rsidR="002C6DEF" w:rsidRDefault="002C6DEF" w:rsidP="008C4D92">
      <w:pPr>
        <w:pStyle w:val="NormalWeb"/>
        <w:spacing w:after="0"/>
        <w:jc w:val="center"/>
      </w:pPr>
    </w:p>
    <w:p w14:paraId="1F5D46F1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4A05D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6DC1CE" w14:textId="77777777" w:rsidR="00781CCF" w:rsidRPr="00F02453" w:rsidRDefault="006D5B58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MCS</w:t>
                            </w:r>
                            <w:r w:rsidR="005F1CBB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8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0T/EN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4A0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636DC1CE" w14:textId="77777777" w:rsidR="00781CCF" w:rsidRPr="00F02453" w:rsidRDefault="006D5B58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MCS</w:t>
                      </w:r>
                      <w:r w:rsidR="005F1CBB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8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0T/EN</w:t>
                      </w:r>
                    </w:p>
                  </w:txbxContent>
                </v:textbox>
              </v:shape>
            </w:pict>
          </mc:Fallback>
        </mc:AlternateContent>
      </w:r>
    </w:p>
    <w:p w14:paraId="587758C3" w14:textId="77777777" w:rsidR="002C6DEF" w:rsidRDefault="002C6DEF" w:rsidP="008C4D92">
      <w:pPr>
        <w:pStyle w:val="NormalWeb"/>
        <w:spacing w:after="0"/>
        <w:jc w:val="center"/>
      </w:pPr>
    </w:p>
    <w:p w14:paraId="759524CA" w14:textId="77777777" w:rsidR="00C74935" w:rsidRDefault="00C74935" w:rsidP="008C4D92">
      <w:pPr>
        <w:pStyle w:val="NormalWeb"/>
        <w:spacing w:after="0"/>
        <w:jc w:val="center"/>
      </w:pPr>
    </w:p>
    <w:p w14:paraId="75B149C6" w14:textId="77777777" w:rsidR="008C4D92" w:rsidRDefault="008C4D92" w:rsidP="008C4D92">
      <w:pPr>
        <w:pStyle w:val="Default"/>
      </w:pPr>
    </w:p>
    <w:p w14:paraId="2D681C74" w14:textId="77777777" w:rsidR="00B851AF" w:rsidRDefault="00B851AF" w:rsidP="008C4D92">
      <w:pPr>
        <w:pStyle w:val="Default"/>
      </w:pPr>
    </w:p>
    <w:p w14:paraId="0E185ACC" w14:textId="77777777" w:rsidR="00B851AF" w:rsidRDefault="00B851AF" w:rsidP="008C4D92">
      <w:pPr>
        <w:pStyle w:val="Default"/>
      </w:pPr>
    </w:p>
    <w:p w14:paraId="575FF09E" w14:textId="77777777" w:rsidR="00D96B92" w:rsidRPr="009C3D1B" w:rsidRDefault="006D5B58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Tonsäule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169EB332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614D37D0" w14:textId="77777777" w:rsidR="00FC491C" w:rsidRDefault="00FC491C" w:rsidP="00FC491C"/>
    <w:p w14:paraId="6A631EAC" w14:textId="77777777" w:rsidR="006D5B58" w:rsidRPr="006D5B58" w:rsidRDefault="006D5B58" w:rsidP="006D5B5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 zwei-Wege Metall-Tonsäule, die elegantes Styling, robusten Aufbau und hohe Leistung kombiniert zeichnet sich gegenüber herkömmlichen Tonsäulen durch einen sehr breiten Frequenzbereich aus, der sich in der qualitativ hochwertigen Wiedergabe von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Sprache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Musik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widerspiegelt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779C8CD7" w14:textId="77777777" w:rsidR="006D5B58" w:rsidRPr="006D5B58" w:rsidRDefault="006D5B58" w:rsidP="006D5B5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hohe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Schalldruck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durch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spezielles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Hochdrucktreiberhorn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erreicht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wird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besondere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Abstrahlcharakteristik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machen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Säule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ideal für den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Einsatz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schwierig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zu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beschallenden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Räumlichkeiten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wie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z.B.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Flughäfen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Kirchen,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Fabriken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Sporthallen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Konferenzräumen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etc. An 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Unterseite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befindet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variabel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einzustellender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Leistungsregler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individuelle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Anpassung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der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benötigten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Leistung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4BD40493" w14:textId="77777777" w:rsidR="006D5B58" w:rsidRPr="006D5B58" w:rsidRDefault="006D5B58" w:rsidP="006D5B58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br/>
        <w:t xml:space="preserve">Durch die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sie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6D5B58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1FC0479B" w14:textId="77777777" w:rsidR="00FC491C" w:rsidRPr="00FC491C" w:rsidRDefault="00FC491C" w:rsidP="00FC491C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FC491C">
        <w:rPr>
          <w:rFonts w:ascii="Arial" w:hAnsi="Arial" w:cs="Arial"/>
          <w:b w:val="0"/>
          <w:color w:val="000000" w:themeColor="text1"/>
          <w:sz w:val="20"/>
          <w:szCs w:val="20"/>
        </w:rPr>
        <w:br/>
      </w:r>
    </w:p>
    <w:p w14:paraId="2E87D4BC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2BF8F874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96050E9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4F0CBB28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7EE05D7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674D66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B531F3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3C1B40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06F5137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98B6580" w14:textId="7DD5456B" w:rsidR="00786B47" w:rsidRPr="00C11CB6" w:rsidRDefault="0049219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492191">
                  <w:rPr>
                    <w:rFonts w:ascii="Arial" w:hAnsi="Arial" w:cs="Arial"/>
                    <w:sz w:val="18"/>
                    <w:szCs w:val="18"/>
                  </w:rPr>
                  <w:t>0905-CPR-201107</w:t>
                </w:r>
              </w:p>
            </w:tc>
          </w:tr>
          <w:tr w:rsidR="00C11CB6" w:rsidRPr="001A6B46" w14:paraId="1661DD2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92404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5DDBB2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30E4837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36ED38D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DB697A6" w14:textId="77777777" w:rsidR="00786B47" w:rsidRPr="00C11CB6" w:rsidRDefault="005F1CB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1A6B46" w14:paraId="7E4E1D7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9941CA2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21B59BA" w14:textId="77777777" w:rsidR="00786B47" w:rsidRPr="00C11CB6" w:rsidRDefault="005F1CB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80/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40/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20/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2C6E644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5CD69D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461866B" w14:textId="77777777" w:rsidR="00C11CB6" w:rsidRPr="00C11CB6" w:rsidRDefault="005F1CB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125/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250/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500/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1k</w:t>
                </w:r>
              </w:p>
            </w:tc>
          </w:tr>
          <w:tr w:rsidR="00C11CB6" w:rsidRPr="001A6B46" w14:paraId="3FA076E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209D47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E29409B" w14:textId="77777777" w:rsidR="00C11CB6" w:rsidRPr="00C11CB6" w:rsidRDefault="005F1CB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40/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20/</w:t>
                </w:r>
                <w:r w:rsidR="003C0104">
                  <w:rPr>
                    <w:rFonts w:ascii="Arial" w:hAnsi="Arial" w:cs="Arial"/>
                    <w:sz w:val="18"/>
                    <w:szCs w:val="18"/>
                  </w:rPr>
                  <w:t>10/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1A6B46" w14:paraId="61F6585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9FECB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ED379DA" w14:textId="77777777" w:rsidR="00C11CB6" w:rsidRPr="00C11CB6" w:rsidRDefault="005F1CB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1A6B46" w14:paraId="049AAA8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2A6F72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A63E025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0-1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383F7D9F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3C8CFAF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0785EF71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19B2D53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6C2FFB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1DA2B1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AB3B6F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4CB39363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CAA4EA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C978AC6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330B334C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02A256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BEA354B" w14:textId="77777777" w:rsidR="00C11CB6" w:rsidRPr="00C11CB6" w:rsidRDefault="005F1CB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101</w:t>
                </w:r>
              </w:p>
            </w:tc>
          </w:tr>
          <w:tr w:rsidR="00C11CB6" w:rsidRPr="00E256BA" w14:paraId="00FB507A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FBBB52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F21DBD4" w14:textId="77777777" w:rsidR="00C11CB6" w:rsidRPr="00C11CB6" w:rsidRDefault="00AB3B6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75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FC491C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31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5F1CBB">
                  <w:rPr>
                    <w:rFonts w:ascii="Arial" w:hAnsi="Arial" w:cs="Arial"/>
                    <w:sz w:val="18"/>
                    <w:szCs w:val="18"/>
                  </w:rPr>
                  <w:t>14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08686BE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44B008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C61362F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10D86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900A46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18AF1C2B" w14:textId="77777777" w:rsidR="00C11CB6" w:rsidRPr="00C11CB6" w:rsidRDefault="006D5B5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</w:p>
            </w:tc>
          </w:tr>
          <w:tr w:rsidR="00C11CB6" w:rsidRPr="00E256BA" w14:paraId="4A1581AE" w14:textId="77777777" w:rsidTr="00C11CB6">
            <w:tc>
              <w:tcPr>
                <w:tcW w:w="5245" w:type="dxa"/>
                <w:vAlign w:val="center"/>
              </w:tcPr>
              <w:p w14:paraId="59B10F7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78AAC35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1C65CEC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61CC15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832B56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6DE43DE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8B9FE5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25EE78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08108D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8274199" w14:textId="77777777" w:rsidR="00C11CB6" w:rsidRPr="00AB3B6F" w:rsidRDefault="00C11CB6" w:rsidP="00AB3B6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AB3B6F">
                  <w:rPr>
                    <w:rFonts w:ascii="Arial" w:hAnsi="Arial" w:cs="Arial"/>
                    <w:sz w:val="18"/>
                    <w:szCs w:val="18"/>
                  </w:rPr>
                  <w:t>Abmessung</w:t>
                </w:r>
                <w:proofErr w:type="spellEnd"/>
                <w:r w:rsidRPr="00AB3B6F">
                  <w:rPr>
                    <w:rFonts w:ascii="Arial" w:hAnsi="Arial" w:cs="Arial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0C6878" w14:textId="77777777" w:rsidR="00C11CB6" w:rsidRPr="00AB3B6F" w:rsidRDefault="005F1CBB" w:rsidP="00AB3B6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970</w:t>
                </w:r>
                <w:r w:rsidR="006D5B58" w:rsidRPr="00AB3B6F">
                  <w:rPr>
                    <w:rFonts w:ascii="Arial" w:hAnsi="Arial" w:cs="Arial"/>
                    <w:sz w:val="18"/>
                    <w:szCs w:val="18"/>
                  </w:rPr>
                  <w:t xml:space="preserve"> x 98 x 90</w:t>
                </w:r>
              </w:p>
            </w:tc>
          </w:tr>
          <w:tr w:rsidR="00C11CB6" w:rsidRPr="00E256BA" w14:paraId="45472CF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E2177C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4FC7CA8" w14:textId="77777777" w:rsidR="00C11CB6" w:rsidRPr="009C3D1B" w:rsidRDefault="005F1CB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34D8D8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69419A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AA9F2EB" w14:textId="77777777" w:rsidR="00C11CB6" w:rsidRPr="00FC491C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E256BA" w14:paraId="012945E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7DF7342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F9924E6" w14:textId="77777777" w:rsidR="00C11CB6" w:rsidRPr="00FC491C" w:rsidRDefault="006D5B58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Aluminium</w:t>
                </w:r>
                <w:proofErr w:type="spellEnd"/>
              </w:p>
            </w:tc>
          </w:tr>
          <w:tr w:rsidR="00C11CB6" w:rsidRPr="00E256BA" w14:paraId="183E94E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76C5BA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306001A" w14:textId="77777777" w:rsidR="00C11CB6" w:rsidRPr="006D5B58" w:rsidRDefault="006D5B58" w:rsidP="006D5B58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proofErr w:type="spellStart"/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r w:rsidRPr="006D5B58">
                  <w:rPr>
                    <w:rFonts w:ascii="Arial" w:hAnsi="Arial" w:cs="Arial"/>
                    <w:sz w:val="18"/>
                    <w:szCs w:val="18"/>
                  </w:rPr>
                  <w:t xml:space="preserve">optional </w:t>
                </w:r>
                <w:proofErr w:type="spellStart"/>
                <w:r w:rsidRPr="006D5B58">
                  <w:rPr>
                    <w:rFonts w:ascii="Arial" w:hAnsi="Arial" w:cs="Arial"/>
                    <w:sz w:val="18"/>
                    <w:szCs w:val="18"/>
                  </w:rPr>
                  <w:t>Kugelgelenk</w:t>
                </w:r>
                <w:proofErr w:type="spellEnd"/>
              </w:p>
            </w:tc>
          </w:tr>
          <w:tr w:rsidR="00C11CB6" w:rsidRPr="00E256BA" w14:paraId="2A4A1587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3E39E5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E3DD006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64624DA8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77289A4E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419E" w14:textId="77777777" w:rsidR="001643AF" w:rsidRDefault="001643AF" w:rsidP="0051148C">
      <w:r>
        <w:separator/>
      </w:r>
    </w:p>
  </w:endnote>
  <w:endnote w:type="continuationSeparator" w:id="0">
    <w:p w14:paraId="63349AF5" w14:textId="77777777" w:rsidR="001643AF" w:rsidRDefault="001643AF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5B90" w14:textId="77777777" w:rsidR="00492191" w:rsidRDefault="00492191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91F6D44" wp14:editId="75AFAE41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525935048" name="Slika 1525935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BD97A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841F" w14:textId="77777777" w:rsidR="00492191" w:rsidRDefault="00492191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2047101" wp14:editId="1F7001B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2A800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2E84958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0C749F9B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711BB008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4E3D21FC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1A4D9CC9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2F68181B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CB8D" w14:textId="77777777" w:rsidR="001643AF" w:rsidRDefault="001643AF" w:rsidP="0051148C">
      <w:r>
        <w:separator/>
      </w:r>
    </w:p>
  </w:footnote>
  <w:footnote w:type="continuationSeparator" w:id="0">
    <w:p w14:paraId="13D7C882" w14:textId="77777777" w:rsidR="001643AF" w:rsidRDefault="001643AF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ECA" w14:textId="5B80E8F8" w:rsidR="009C3D1B" w:rsidRDefault="00492191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765C6A" wp14:editId="31699FD8">
          <wp:simplePos x="0" y="0"/>
          <wp:positionH relativeFrom="page">
            <wp:align>left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389784252" name="Slika 389784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E2F4" w14:textId="235C1A68" w:rsidR="00504AFD" w:rsidRDefault="00492191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F6DD3FC" wp14:editId="0234AA83">
          <wp:simplePos x="0" y="0"/>
          <wp:positionH relativeFrom="column">
            <wp:posOffset>-1123315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1366567266" name="Slika 1366567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1E2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236717707">
    <w:abstractNumId w:val="40"/>
  </w:num>
  <w:num w:numId="2" w16cid:durableId="1425106101">
    <w:abstractNumId w:val="43"/>
  </w:num>
  <w:num w:numId="3" w16cid:durableId="803814829">
    <w:abstractNumId w:val="29"/>
  </w:num>
  <w:num w:numId="4" w16cid:durableId="532377376">
    <w:abstractNumId w:val="15"/>
  </w:num>
  <w:num w:numId="5" w16cid:durableId="1896308279">
    <w:abstractNumId w:val="32"/>
  </w:num>
  <w:num w:numId="6" w16cid:durableId="521633228">
    <w:abstractNumId w:val="0"/>
  </w:num>
  <w:num w:numId="7" w16cid:durableId="1259481233">
    <w:abstractNumId w:val="25"/>
  </w:num>
  <w:num w:numId="8" w16cid:durableId="1689402946">
    <w:abstractNumId w:val="20"/>
  </w:num>
  <w:num w:numId="9" w16cid:durableId="940331257">
    <w:abstractNumId w:val="34"/>
  </w:num>
  <w:num w:numId="10" w16cid:durableId="1183520745">
    <w:abstractNumId w:val="21"/>
  </w:num>
  <w:num w:numId="11" w16cid:durableId="14816927">
    <w:abstractNumId w:val="27"/>
  </w:num>
  <w:num w:numId="12" w16cid:durableId="439378429">
    <w:abstractNumId w:val="2"/>
  </w:num>
  <w:num w:numId="13" w16cid:durableId="1221090454">
    <w:abstractNumId w:val="48"/>
  </w:num>
  <w:num w:numId="14" w16cid:durableId="2118331137">
    <w:abstractNumId w:val="26"/>
  </w:num>
  <w:num w:numId="15" w16cid:durableId="1633708051">
    <w:abstractNumId w:val="12"/>
  </w:num>
  <w:num w:numId="16" w16cid:durableId="519048979">
    <w:abstractNumId w:val="46"/>
  </w:num>
  <w:num w:numId="17" w16cid:durableId="1495756442">
    <w:abstractNumId w:val="28"/>
  </w:num>
  <w:num w:numId="18" w16cid:durableId="1685546696">
    <w:abstractNumId w:val="16"/>
  </w:num>
  <w:num w:numId="19" w16cid:durableId="2018074283">
    <w:abstractNumId w:val="22"/>
  </w:num>
  <w:num w:numId="20" w16cid:durableId="1724598845">
    <w:abstractNumId w:val="45"/>
  </w:num>
  <w:num w:numId="21" w16cid:durableId="651252726">
    <w:abstractNumId w:val="1"/>
  </w:num>
  <w:num w:numId="22" w16cid:durableId="514657205">
    <w:abstractNumId w:val="35"/>
  </w:num>
  <w:num w:numId="23" w16cid:durableId="203449387">
    <w:abstractNumId w:val="11"/>
  </w:num>
  <w:num w:numId="24" w16cid:durableId="254174552">
    <w:abstractNumId w:val="30"/>
  </w:num>
  <w:num w:numId="25" w16cid:durableId="1792624329">
    <w:abstractNumId w:val="18"/>
  </w:num>
  <w:num w:numId="26" w16cid:durableId="634721606">
    <w:abstractNumId w:val="33"/>
  </w:num>
  <w:num w:numId="27" w16cid:durableId="899362243">
    <w:abstractNumId w:val="37"/>
  </w:num>
  <w:num w:numId="28" w16cid:durableId="1974943084">
    <w:abstractNumId w:val="14"/>
  </w:num>
  <w:num w:numId="29" w16cid:durableId="1712999536">
    <w:abstractNumId w:val="5"/>
  </w:num>
  <w:num w:numId="30" w16cid:durableId="825975680">
    <w:abstractNumId w:val="39"/>
  </w:num>
  <w:num w:numId="31" w16cid:durableId="136804127">
    <w:abstractNumId w:val="42"/>
  </w:num>
  <w:num w:numId="32" w16cid:durableId="1305045725">
    <w:abstractNumId w:val="19"/>
  </w:num>
  <w:num w:numId="33" w16cid:durableId="1571118236">
    <w:abstractNumId w:val="6"/>
  </w:num>
  <w:num w:numId="34" w16cid:durableId="1786537972">
    <w:abstractNumId w:val="41"/>
  </w:num>
  <w:num w:numId="35" w16cid:durableId="752045127">
    <w:abstractNumId w:val="13"/>
  </w:num>
  <w:num w:numId="36" w16cid:durableId="1214199332">
    <w:abstractNumId w:val="23"/>
  </w:num>
  <w:num w:numId="37" w16cid:durableId="542402806">
    <w:abstractNumId w:val="24"/>
  </w:num>
  <w:num w:numId="38" w16cid:durableId="220991040">
    <w:abstractNumId w:val="38"/>
  </w:num>
  <w:num w:numId="39" w16cid:durableId="1291399438">
    <w:abstractNumId w:val="36"/>
  </w:num>
  <w:num w:numId="40" w16cid:durableId="1149440798">
    <w:abstractNumId w:val="4"/>
  </w:num>
  <w:num w:numId="41" w16cid:durableId="146360047">
    <w:abstractNumId w:val="10"/>
  </w:num>
  <w:num w:numId="42" w16cid:durableId="2107144412">
    <w:abstractNumId w:val="3"/>
  </w:num>
  <w:num w:numId="43" w16cid:durableId="1446118904">
    <w:abstractNumId w:val="7"/>
  </w:num>
  <w:num w:numId="44" w16cid:durableId="464279526">
    <w:abstractNumId w:val="44"/>
  </w:num>
  <w:num w:numId="45" w16cid:durableId="1400903264">
    <w:abstractNumId w:val="17"/>
  </w:num>
  <w:num w:numId="46" w16cid:durableId="202792176">
    <w:abstractNumId w:val="31"/>
  </w:num>
  <w:num w:numId="47" w16cid:durableId="1911693338">
    <w:abstractNumId w:val="9"/>
  </w:num>
  <w:num w:numId="48" w16cid:durableId="341664177">
    <w:abstractNumId w:val="8"/>
  </w:num>
  <w:num w:numId="49" w16cid:durableId="1525090942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643AF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104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2191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1CBB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2644"/>
    <w:rsid w:val="008370C7"/>
    <w:rsid w:val="00851640"/>
    <w:rsid w:val="0085647F"/>
    <w:rsid w:val="00862D12"/>
    <w:rsid w:val="0086791B"/>
    <w:rsid w:val="008717C8"/>
    <w:rsid w:val="00875304"/>
    <w:rsid w:val="00881E28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3B6F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04FC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5FCA0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MCS80T/EN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2020-04-21T20:24:00Z</dcterms:created>
  <dcterms:modified xsi:type="dcterms:W3CDTF">2023-08-08T08:02:00Z</dcterms:modified>
</cp:coreProperties>
</file>